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after="80" w:line="252" w:lineRule="auto"/>
      </w:pPr>
      <w:r>
        <w:rPr>
          <w:rFonts w:ascii="Calibri" w:hAnsi="Calibri" w:eastAsia="Microsoft YaHei"/>
          <w:b/>
          <w:color w:val="000000"/>
          <w:sz w:val="46"/>
        </w:rPr>
        <w:t>供应商初筛建议汇报</w:t>
      </w:r>
    </w:p>
    <w:p>
      <w:pPr>
        <w:spacing w:before="0" w:after="320" w:line="264" w:lineRule="auto"/>
      </w:pPr>
      <w:r>
        <w:rPr>
          <w:rFonts w:ascii="Calibri" w:hAnsi="Calibri" w:eastAsia="Microsoft YaHei"/>
          <w:color w:val="595959"/>
          <w:sz w:val="28"/>
        </w:rPr>
        <w:t>企业内部降本增效数字化落地项目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680"/>
        <w:gridCol w:w="4680"/>
      </w:tblGrid>
      <w:tr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b/>
                <w:color w:val="595959"/>
                <w:sz w:val="20"/>
              </w:rPr>
              <w:t>提交对象</w:t>
            </w:r>
          </w:p>
        </w:tc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color w:val="18202B"/>
                <w:sz w:val="20"/>
              </w:rPr>
              <w:t>公司管理层</w:t>
            </w:r>
          </w:p>
        </w:tc>
      </w:tr>
      <w:tr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b/>
                <w:color w:val="595959"/>
                <w:sz w:val="20"/>
              </w:rPr>
              <w:t>项目主题</w:t>
            </w:r>
          </w:p>
        </w:tc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color w:val="18202B"/>
                <w:sz w:val="20"/>
              </w:rPr>
              <w:t>企业内部降本增效数字化落地供应商初筛</w:t>
            </w:r>
          </w:p>
        </w:tc>
      </w:tr>
      <w:tr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b/>
                <w:color w:val="595959"/>
                <w:sz w:val="20"/>
              </w:rPr>
              <w:t>预算口径</w:t>
            </w:r>
          </w:p>
        </w:tc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color w:val="18202B"/>
                <w:sz w:val="20"/>
              </w:rPr>
              <w:t>一期投入约 10 万元左右</w:t>
            </w:r>
          </w:p>
        </w:tc>
      </w:tr>
      <w:tr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b/>
                <w:color w:val="595959"/>
                <w:sz w:val="20"/>
              </w:rPr>
              <w:t>筛选范围</w:t>
            </w:r>
          </w:p>
        </w:tc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color w:val="18202B"/>
                <w:sz w:val="20"/>
              </w:rPr>
              <w:t>销售、采购、库存、财务、客服、运营协同、数据分析</w:t>
            </w:r>
          </w:p>
        </w:tc>
      </w:tr>
      <w:tr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b/>
                <w:color w:val="595959"/>
                <w:sz w:val="20"/>
              </w:rPr>
              <w:t>资料来源</w:t>
            </w:r>
          </w:p>
        </w:tc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color w:val="18202B"/>
                <w:sz w:val="20"/>
              </w:rPr>
              <w:t>2026 年 4 月 8 日至 4 月 17 日与 10 家供应商沟通纪要及报价资料</w:t>
            </w:r>
          </w:p>
        </w:tc>
      </w:tr>
      <w:tr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b/>
                <w:color w:val="595959"/>
                <w:sz w:val="20"/>
              </w:rPr>
              <w:t>文档日期</w:t>
            </w:r>
          </w:p>
        </w:tc>
        <w:tc>
          <w:tcPr>
            <w:tcW w:type="dxa" w:w="4680"/>
            <w:vAlign w:val="center"/>
            <w:tcMar>
              <w:top w:w="35" w:type="dxa"/>
              <w:start w:w="0" w:type="dxa"/>
              <w:bottom w:w="35" w:type="dxa"/>
              <w:end w:w="80" w:type="dxa"/>
            </w:tcMar>
          </w:tcPr>
          <w:p>
            <w:pPr>
              <w:spacing w:before="0" w:after="0" w:line="252" w:lineRule="auto"/>
            </w:pPr>
            <w:r>
              <w:rPr>
                <w:rFonts w:ascii="Calibri" w:hAnsi="Calibri" w:eastAsia="Microsoft YaHei"/>
                <w:color w:val="18202B"/>
                <w:sz w:val="20"/>
              </w:rPr>
              <w:t>2026 年 6 月 4 日</w:t>
            </w:r>
          </w:p>
        </w:tc>
      </w:tr>
    </w:tbl>
    <w:p/>
    <w:p>
      <w:pPr>
        <w:spacing w:before="0" w:after="240" w:line="240" w:lineRule="auto"/>
        <w:pBdr>
          <w:bottom w:val="single" w:sz="12" w:space="2" w:color="4F81BD"/>
        </w:pBdr>
      </w:pPr>
    </w:p>
    <w:p>
      <w:pPr>
        <w:keepNext/>
        <w:spacing w:before="320" w:after="160" w:line="264" w:lineRule="auto"/>
      </w:pPr>
      <w:r>
        <w:rPr>
          <w:rFonts w:ascii="Calibri" w:hAnsi="Calibri" w:eastAsia="Microsoft YaHei"/>
          <w:b/>
          <w:color w:val="2E74B5"/>
          <w:sz w:val="32"/>
        </w:rPr>
        <w:t>一、建议结论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C8D4E3"/>
          <w:left w:val="single" w:sz="6" w:space="0" w:color="C8D4E3"/>
          <w:bottom w:val="single" w:sz="6" w:space="0" w:color="C8D4E3"/>
          <w:right w:val="single" w:sz="6" w:space="0" w:color="C8D4E3"/>
          <w:insideH w:val="single" w:sz="6" w:space="0" w:color="C8D4E3"/>
          <w:insideV w:val="single" w:sz="6" w:space="0" w:color="C8D4E3"/>
        </w:tblBorders>
      </w:tblPr>
      <w:tblGrid>
        <w:gridCol w:w="9360"/>
      </w:tblGrid>
      <w:tr>
        <w:tc>
          <w:tcPr>
            <w:tcW w:type="dxa" w:w="9360"/>
            <w:shd w:fill="F7F9FC"/>
            <w:tcMar>
              <w:top w:w="130" w:type="dxa"/>
              <w:start w:w="180" w:type="dxa"/>
              <w:bottom w:w="130" w:type="dxa"/>
              <w:end w:w="180" w:type="dxa"/>
            </w:tcMar>
          </w:tcPr>
          <w:p>
            <w:pPr>
              <w:spacing w:before="0" w:after="60" w:line="264" w:lineRule="auto"/>
            </w:pPr>
            <w:r>
              <w:rPr>
                <w:rFonts w:ascii="Calibri" w:hAnsi="Calibri" w:eastAsia="Microsoft YaHei"/>
                <w:b/>
                <w:color w:val="1F4D78"/>
                <w:sz w:val="22"/>
              </w:rPr>
              <w:t>推荐进入下一轮的前三家</w:t>
            </w:r>
          </w:p>
          <w:p>
            <w:pPr>
              <w:spacing w:before="0" w:after="0" w:line="264" w:lineRule="auto"/>
            </w:pPr>
            <w:r>
              <w:rPr>
                <w:rFonts w:ascii="Calibri" w:hAnsi="Calibri" w:eastAsia="Microsoft YaHei"/>
                <w:color w:val="18202B"/>
                <w:sz w:val="21"/>
              </w:rPr>
              <w:t>按预算贴合度、业务覆盖面、一期可落地性和实施风险综合判断，建议排序为：1）云序数科；2）客易达；3）飞岚数据。其中云序数科建议作为首选商务推进对象，客易达和飞岚数据分别作为前端协同与经营分析方向的备选/补充方案进入下一轮。</w:t>
            </w:r>
          </w:p>
        </w:tc>
      </w:tr>
    </w:tbl>
    <w:p>
      <w:pPr>
        <w:spacing w:before="0" w:after="80" w:line="240" w:lineRule="auto"/>
      </w:pPr>
    </w:p>
    <w:p>
      <w:pPr>
        <w:spacing w:before="0" w:after="120" w:line="264" w:lineRule="auto"/>
      </w:pPr>
      <w:r>
        <w:rPr>
          <w:rFonts w:ascii="Calibri" w:hAnsi="Calibri" w:eastAsia="Microsoft YaHei"/>
          <w:color w:val="18202B"/>
          <w:sz w:val="22"/>
        </w:rPr>
        <w:t>本轮筛选重点不是选择功能最多的供应商，而是优先选择能在 10 万元左右形成真实上线成果、能减少人工台账和跨部门对账、且后续扩展风险相对可控的方案。其余供应商本轮不展开，主要原因是报价明显超出预算、范围偏窄，或更适合作为前期咨询而非一期落地。</w:t>
      </w:r>
    </w:p>
    <w:p>
      <w:r>
        <w:br w:type="page"/>
      </w:r>
    </w:p>
    <w:p>
      <w:pPr>
        <w:keepNext/>
        <w:spacing w:before="320" w:after="160" w:line="264" w:lineRule="auto"/>
      </w:pPr>
      <w:r>
        <w:rPr>
          <w:rFonts w:ascii="Calibri" w:hAnsi="Calibri" w:eastAsia="Microsoft YaHei"/>
          <w:b/>
          <w:color w:val="2E74B5"/>
          <w:sz w:val="32"/>
        </w:rPr>
        <w:t>二、前三家对比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jc w:val="left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604"/>
            <w:shd w:fill="F2F4F7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/>
                <w:color w:val="18202B"/>
                <w:sz w:val="18"/>
              </w:rPr>
              <w:t>排序</w:t>
            </w:r>
          </w:p>
        </w:tc>
        <w:tc>
          <w:tcPr>
            <w:tcW w:type="dxa" w:w="1080"/>
            <w:shd w:fill="F2F4F7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/>
                <w:color w:val="18202B"/>
                <w:sz w:val="18"/>
              </w:rPr>
              <w:t>供应商</w:t>
            </w:r>
          </w:p>
        </w:tc>
        <w:tc>
          <w:tcPr>
            <w:tcW w:type="dxa" w:w="1123"/>
            <w:shd w:fill="F2F4F7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/>
                <w:color w:val="18202B"/>
                <w:sz w:val="18"/>
              </w:rPr>
              <w:t>初步报价</w:t>
            </w:r>
          </w:p>
        </w:tc>
        <w:tc>
          <w:tcPr>
            <w:tcW w:type="dxa" w:w="2044"/>
            <w:shd w:fill="F2F4F7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/>
                <w:color w:val="18202B"/>
                <w:sz w:val="18"/>
              </w:rPr>
              <w:t>一期覆盖方向</w:t>
            </w:r>
          </w:p>
        </w:tc>
        <w:tc>
          <w:tcPr>
            <w:tcW w:type="dxa" w:w="2404"/>
            <w:shd w:fill="F2F4F7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/>
                <w:color w:val="18202B"/>
                <w:sz w:val="18"/>
              </w:rPr>
              <w:t>入围判断</w:t>
            </w:r>
          </w:p>
        </w:tc>
        <w:tc>
          <w:tcPr>
            <w:tcW w:type="dxa" w:w="2102"/>
            <w:shd w:fill="F2F4F7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/>
                <w:color w:val="18202B"/>
                <w:sz w:val="18"/>
              </w:rPr>
              <w:t>主要风险</w:t>
            </w:r>
          </w:p>
        </w:tc>
      </w:tr>
      <w:tr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1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8202B"/>
                <w:sz w:val="17"/>
              </w:rPr>
              <w:t>云序数科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98,600 元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采购申请、费用报销、物料领用、钉钉入口和台账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预算贴合度最高，能把采购、财务和轻库存三类高频人工台账先线上化，边界较清楚，适合作为首选试点。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成品库存、接口、现场服务和字段反复调整可能增费；需要先冻结一期范围。</w:t>
            </w:r>
          </w:p>
        </w:tc>
      </w:tr>
      <w:tr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2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8202B"/>
                <w:sz w:val="17"/>
              </w:rPr>
              <w:t>客易达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94,500 元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客户资料与线索池、销售跟进提醒、客服反馈模块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覆盖销售与客服协同，能解决客户记录分散、跟进断层和售后反馈无法沉淀的问题，报价在预算内。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企微提醒可能另收费；客服和销售是否持续录入决定实际效果。</w:t>
            </w:r>
          </w:p>
        </w:tc>
      </w:tr>
      <w:tr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3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/>
                <w:color w:val="18202B"/>
                <w:sz w:val="17"/>
              </w:rPr>
              <w:t>飞岚数据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68,000 元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销售、费用、库存、投放、客户反馈的上传型经营看板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成本较低，直接补足管理层经营分析需求，可快速形成周报/月报视图。</w:t>
            </w:r>
          </w:p>
        </w:tc>
        <w:tc>
          <w:tcPr>
            <w:tcW w:type="dxa" w:w="156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Calibri" w:hAnsi="Calibri" w:eastAsia="Microsoft YaHei"/>
                <w:b w:val="0"/>
                <w:color w:val="18202B"/>
                <w:sz w:val="17"/>
              </w:rPr>
              <w:t>不做系统集成，依赖人工按模板上传；后续接口按 8,000-15,000 元/个另算。</w:t>
            </w:r>
          </w:p>
        </w:tc>
      </w:tr>
    </w:tbl>
    <w:p/>
    <w:p>
      <w:pPr>
        <w:keepNext/>
        <w:spacing w:before="320" w:after="160" w:line="264" w:lineRule="auto"/>
      </w:pPr>
      <w:r>
        <w:rPr>
          <w:rFonts w:ascii="Calibri" w:hAnsi="Calibri" w:eastAsia="Microsoft YaHei"/>
          <w:b/>
          <w:color w:val="2E74B5"/>
          <w:sz w:val="32"/>
        </w:rPr>
        <w:t>三、入围理由与下一轮沟通重点</w:t>
      </w:r>
    </w:p>
    <w:p>
      <w:pPr>
        <w:keepNext/>
        <w:spacing w:before="240" w:after="120" w:line="264" w:lineRule="auto"/>
      </w:pPr>
      <w:r>
        <w:rPr>
          <w:rFonts w:ascii="Calibri" w:hAnsi="Calibri" w:eastAsia="Microsoft YaHei"/>
          <w:b/>
          <w:color w:val="2E74B5"/>
          <w:sz w:val="26"/>
        </w:rPr>
        <w:t>第一. 云序数科：首选推进，适合做一期流程线上化试点</w:t>
      </w:r>
    </w:p>
    <w:p>
      <w:pPr>
        <w:spacing w:before="0" w:after="120" w:line="264" w:lineRule="auto"/>
      </w:pPr>
      <w:r>
        <w:rPr>
          <w:rFonts w:ascii="Calibri" w:hAnsi="Calibri" w:eastAsia="Microsoft YaHei"/>
          <w:b/>
          <w:color w:val="18202B"/>
          <w:sz w:val="22"/>
        </w:rPr>
        <w:t>报价口径：</w:t>
      </w:r>
      <w:r>
        <w:rPr>
          <w:rFonts w:ascii="Calibri" w:hAnsi="Calibri" w:eastAsia="Microsoft YaHei"/>
          <w:color w:val="18202B"/>
          <w:sz w:val="22"/>
        </w:rPr>
        <w:t>98,600 元，覆盖流程梳理、低代码流程搭建、钉钉入口和权限、历史表格导入、培训及 1 个月陪跑。</w:t>
      </w:r>
    </w:p>
    <w:p>
      <w:pPr>
        <w:keepNext/>
        <w:spacing w:before="0" w:after="120" w:line="264" w:lineRule="auto"/>
      </w:pPr>
      <w:r>
        <w:rPr>
          <w:rFonts w:ascii="Calibri" w:hAnsi="Calibri" w:eastAsia="Microsoft YaHei"/>
          <w:b/>
          <w:color w:val="18202B"/>
          <w:sz w:val="22"/>
        </w:rPr>
        <w:t>入围理由：</w:t>
      </w:r>
      <w:r>
        <w:rPr>
          <w:rFonts w:ascii="Calibri" w:hAnsi="Calibri" w:eastAsia="Microsoft YaHei"/>
          <w:color w:val="18202B"/>
          <w:sz w:val="22"/>
        </w:rPr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与预算高度匹配，报价低于 10 万元且包含实施、导入、培训和陪跑，适合作为一期项目落地。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覆盖采购申请、费用报销和物料领用，正好对应目前采购、财务、库存/运营台账反复手工补录的问题。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对方没有把轻量流程包装成完整 ERP，明确建议成品库存不放在第一期，实施边界相对务实。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上线节奏清楚：采购和报销约两周，三条流程约 25 个工作日，便于管理层判断阶段成果。</w:t>
      </w:r>
    </w:p>
    <w:p>
      <w:pPr>
        <w:keepNext/>
        <w:spacing w:before="0" w:after="120" w:line="264" w:lineRule="auto"/>
      </w:pPr>
      <w:r>
        <w:rPr>
          <w:rFonts w:ascii="Calibri" w:hAnsi="Calibri" w:eastAsia="Microsoft YaHei"/>
          <w:b/>
          <w:color w:val="18202B"/>
          <w:sz w:val="22"/>
        </w:rPr>
        <w:t>下一轮业务沟通重点：</w:t>
      </w:r>
      <w:r>
        <w:rPr>
          <w:rFonts w:ascii="Calibri" w:hAnsi="Calibri" w:eastAsia="Microsoft YaHei"/>
          <w:color w:val="18202B"/>
          <w:sz w:val="22"/>
        </w:rPr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要求对方补正式一期报价，明确采购+报销必选范围、物料领用是否作为可选项，并承诺总价、税费、账号、培训、陪跑是否包含在 10 万元以内。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拿三张真实业务表给对方做字段评估，确认分批到货、分批开票、费用分类、项目维度和月度导出是否都在标准范围内。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明确一期验收口径：三条流程可提交审批、生成台账、按角色查询、导出给会计、导入近 6 个月历史数据、完成 2 场培训。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约定变更机制，尤其是字段反复调整、接口、额外账号、现场服务、第二个月陪跑等费用，避免上线后追加成本。</w:t>
      </w:r>
    </w:p>
    <w:p>
      <w:pPr>
        <w:keepNext/>
        <w:spacing w:before="240" w:after="120" w:line="264" w:lineRule="auto"/>
      </w:pPr>
      <w:r>
        <w:rPr>
          <w:rFonts w:ascii="Calibri" w:hAnsi="Calibri" w:eastAsia="Microsoft YaHei"/>
          <w:b/>
          <w:color w:val="2E74B5"/>
          <w:sz w:val="26"/>
        </w:rPr>
        <w:t>第二. 客易达：前端协同优先候选，适合解决销售与客服信息断层</w:t>
      </w:r>
    </w:p>
    <w:p>
      <w:pPr>
        <w:spacing w:before="0" w:after="120" w:line="264" w:lineRule="auto"/>
      </w:pPr>
      <w:r>
        <w:rPr>
          <w:rFonts w:ascii="Calibri" w:hAnsi="Calibri" w:eastAsia="Microsoft YaHei"/>
          <w:b/>
          <w:color w:val="18202B"/>
          <w:sz w:val="22"/>
        </w:rPr>
        <w:t>报价口径：</w:t>
      </w:r>
      <w:r>
        <w:rPr>
          <w:rFonts w:ascii="Calibri" w:hAnsi="Calibri" w:eastAsia="Microsoft YaHei"/>
          <w:color w:val="18202B"/>
          <w:sz w:val="22"/>
        </w:rPr>
        <w:t>94,500 元，覆盖客户资料与线索池、销售跟进提醒、客服反馈模块、历史客户数据导入、培训与上线支持。</w:t>
      </w:r>
    </w:p>
    <w:p>
      <w:pPr>
        <w:keepNext/>
        <w:spacing w:before="0" w:after="120" w:line="264" w:lineRule="auto"/>
      </w:pPr>
      <w:r>
        <w:rPr>
          <w:rFonts w:ascii="Calibri" w:hAnsi="Calibri" w:eastAsia="Microsoft YaHei"/>
          <w:b/>
          <w:color w:val="18202B"/>
          <w:sz w:val="22"/>
        </w:rPr>
        <w:t>入围理由：</w:t>
      </w:r>
      <w:r>
        <w:rPr>
          <w:rFonts w:ascii="Calibri" w:hAnsi="Calibri" w:eastAsia="Microsoft YaHei"/>
          <w:color w:val="18202B"/>
          <w:sz w:val="22"/>
        </w:rPr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报价在预算内，覆盖销售线索、客户跟进、客服反馈和历史客户数据清洗，能直接改善客户记录分散的问题。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方案建议先做销售和客服共用客户池，不急于做复杂销售漏斗，和当前管理成熟度比较匹配。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客户反馈可沉淀为标签，产品、运营、客服能围绕同一客户记录看历史问题，有利于减少重复沟通和遗漏。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如果公司当前最痛的是销售跟进失控、售后信息看不见，客易达的业务价值会比单纯客服工具更完整。</w:t>
      </w:r>
    </w:p>
    <w:p>
      <w:pPr>
        <w:keepNext/>
        <w:spacing w:before="0" w:after="120" w:line="264" w:lineRule="auto"/>
      </w:pPr>
      <w:r>
        <w:rPr>
          <w:rFonts w:ascii="Calibri" w:hAnsi="Calibri" w:eastAsia="Microsoft YaHei"/>
          <w:b/>
          <w:color w:val="18202B"/>
          <w:sz w:val="22"/>
        </w:rPr>
        <w:t>下一轮业务沟通重点：</w:t>
      </w:r>
      <w:r>
        <w:rPr>
          <w:rFonts w:ascii="Calibri" w:hAnsi="Calibri" w:eastAsia="Microsoft YaHei"/>
          <w:color w:val="18202B"/>
          <w:sz w:val="22"/>
        </w:rPr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要求演示一条完整业务流：线索进入、销售跟进、客服反馈、售后处理、产品/运营查看周报，确认是否符合现有工作习惯。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重点确认企微提醒、企微/微信客户记录同步、智能分类是否另收费；如果提醒只在系统内，使用率风险较高。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明确客户表去重、客户名称标准化、历史售后记录导入规则，避免上线后客户池一开始就不干净。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把必填字段控制在最低可执行范围，先保证销售和客服愿意录入，再逐步增加标签和阶段管理。</w:t>
      </w:r>
    </w:p>
    <w:p>
      <w:pPr>
        <w:keepNext/>
        <w:spacing w:before="240" w:after="120" w:line="264" w:lineRule="auto"/>
      </w:pPr>
      <w:r>
        <w:rPr>
          <w:rFonts w:ascii="Calibri" w:hAnsi="Calibri" w:eastAsia="Microsoft YaHei"/>
          <w:b/>
          <w:color w:val="2E74B5"/>
          <w:sz w:val="26"/>
        </w:rPr>
        <w:t>第三. 飞岚数据：数据分析候选，适合快速形成经营周报/月报</w:t>
      </w:r>
    </w:p>
    <w:p>
      <w:pPr>
        <w:spacing w:before="0" w:after="120" w:line="264" w:lineRule="auto"/>
      </w:pPr>
      <w:r>
        <w:rPr>
          <w:rFonts w:ascii="Calibri" w:hAnsi="Calibri" w:eastAsia="Microsoft YaHei"/>
          <w:b/>
          <w:color w:val="18202B"/>
          <w:sz w:val="22"/>
        </w:rPr>
        <w:t>报价口径：</w:t>
      </w:r>
      <w:r>
        <w:rPr>
          <w:rFonts w:ascii="Calibri" w:hAnsi="Calibri" w:eastAsia="Microsoft YaHei"/>
          <w:color w:val="18202B"/>
          <w:sz w:val="22"/>
        </w:rPr>
        <w:t>68,000 元，覆盖数据口径梳理、上传模板设计、经营看板配置、近 6 个月历史数据清洗导入、培训与看板调整。</w:t>
      </w:r>
    </w:p>
    <w:p>
      <w:pPr>
        <w:keepNext/>
        <w:spacing w:before="0" w:after="120" w:line="264" w:lineRule="auto"/>
      </w:pPr>
      <w:r>
        <w:rPr>
          <w:rFonts w:ascii="Calibri" w:hAnsi="Calibri" w:eastAsia="Microsoft YaHei"/>
          <w:b/>
          <w:color w:val="18202B"/>
          <w:sz w:val="22"/>
        </w:rPr>
        <w:t>入围理由：</w:t>
      </w:r>
      <w:r>
        <w:rPr>
          <w:rFonts w:ascii="Calibri" w:hAnsi="Calibri" w:eastAsia="Microsoft YaHei"/>
          <w:color w:val="18202B"/>
          <w:sz w:val="22"/>
        </w:rPr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总价明显低于预算，为后续接口或小范围补充留出空间，适合先做管理层可视化看板。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覆盖销售、费用、库存、投放和客户反馈五类数据，能满足老板看经营指标、周报和月报的管理诉求。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对方明确不做系统集成，第一期先用固定模板上传，边界清楚，短期落地阻力低。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可作为云序数科或客易达之外的管理分析补位方案，帮助把流程数据和前端数据转成可看、可复盘的指标。</w:t>
      </w:r>
    </w:p>
    <w:p>
      <w:pPr>
        <w:keepNext/>
        <w:spacing w:before="0" w:after="120" w:line="264" w:lineRule="auto"/>
      </w:pPr>
      <w:r>
        <w:rPr>
          <w:rFonts w:ascii="Calibri" w:hAnsi="Calibri" w:eastAsia="Microsoft YaHei"/>
          <w:b/>
          <w:color w:val="18202B"/>
          <w:sz w:val="22"/>
        </w:rPr>
        <w:t>下一轮业务沟通重点：</w:t>
      </w:r>
      <w:r>
        <w:rPr>
          <w:rFonts w:ascii="Calibri" w:hAnsi="Calibri" w:eastAsia="Microsoft YaHei"/>
          <w:color w:val="18202B"/>
          <w:sz w:val="22"/>
        </w:rPr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要求对方基于样例数据做一版看板样稿，先锁定管理层最关心的 10 个指标，例如销售额、客户贡献、费用结构、库存预警、投放效果和客户反馈趋势。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内部先确定费用口径和客户名称规则，形成映射表，避免不同部门上传后指标无法对齐。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明确人工上传的责任人、频率、模板校验规则和错误回退机制，确认看板刷新是否能由内部人员独立完成。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提前让对方列出后续接口单价、数据权限、账号费用和维护费用，评估从上传型 BI 过渡到自动集成的二期成本。</w:t>
      </w:r>
    </w:p>
    <w:p>
      <w:pPr>
        <w:keepNext/>
        <w:spacing w:before="320" w:after="160" w:line="264" w:lineRule="auto"/>
      </w:pPr>
      <w:r>
        <w:rPr>
          <w:rFonts w:ascii="Calibri" w:hAnsi="Calibri" w:eastAsia="Microsoft YaHei"/>
          <w:b/>
          <w:color w:val="2E74B5"/>
          <w:sz w:val="32"/>
        </w:rPr>
        <w:t>四、建议的下一轮推进方式</w:t>
      </w:r>
    </w:p>
    <w:p>
      <w:pPr>
        <w:spacing w:before="0" w:after="120" w:line="264" w:lineRule="auto"/>
      </w:pPr>
      <w:r>
        <w:rPr>
          <w:rFonts w:ascii="Calibri" w:hAnsi="Calibri" w:eastAsia="Microsoft YaHei"/>
          <w:color w:val="18202B"/>
          <w:sz w:val="22"/>
        </w:rPr>
        <w:t>建议下一轮不要只比较报价，而是让三家基于同一套真实样例资料做小范围演示或试跑。这样可以同时验证业务理解、数据清洗难度、系统易用性和隐性费用，避免合同签完后才发现关键场景不在报价范围内。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统一提供样例材料：采购/报销表、客户表、客服问题表、库存/费用数据各一份，要求供应商按真实字段说明可实现范围。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统一报价口径：要求列清一次性实施费、账号费、续费、接口费、现场服务费、培训费、陪跑周期和变更收费规则。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统一验收口径：每家至少给出 3-5 个可量化交付结果，例如流程上线数、历史数据导入量、报表数量、提醒触达方式、培训次数。</w:t>
      </w:r>
    </w:p>
    <w:p>
      <w:pPr>
        <w:pStyle w:val="ListBullet"/>
        <w:spacing w:before="0" w:after="100" w:line="280" w:lineRule="auto"/>
        <w:ind w:left="720" w:hanging="360"/>
      </w:pPr>
      <w:r>
        <w:rPr>
          <w:rFonts w:ascii="Calibri" w:hAnsi="Calibri" w:eastAsia="Microsoft YaHei"/>
          <w:color w:val="18202B"/>
          <w:sz w:val="21"/>
        </w:rPr>
        <w:t>统一风险确认：重点问清楚哪些能力属于标准功能，哪些需要定制，哪些需要我们内部持续人工维护。</w:t>
      </w:r>
    </w:p>
    <w:p>
      <w:pPr>
        <w:keepNext/>
        <w:spacing w:before="320" w:after="160" w:line="264" w:lineRule="auto"/>
      </w:pPr>
      <w:r>
        <w:rPr>
          <w:rFonts w:ascii="Calibri" w:hAnsi="Calibri" w:eastAsia="Microsoft YaHei"/>
          <w:b/>
          <w:color w:val="2E74B5"/>
          <w:sz w:val="32"/>
        </w:rPr>
        <w:t>五、综合建议</w:t>
      </w:r>
    </w:p>
    <w:p>
      <w:pPr>
        <w:spacing w:before="0" w:after="120" w:line="264" w:lineRule="auto"/>
      </w:pPr>
      <w:r>
        <w:rPr>
          <w:rFonts w:ascii="Calibri" w:hAnsi="Calibri" w:eastAsia="Microsoft YaHei"/>
          <w:color w:val="18202B"/>
          <w:sz w:val="22"/>
        </w:rPr>
        <w:t>如本期只能选择一家供应商，建议优先推进云序数科，原因是它在 10 万元预算内覆盖采购、报销和物料领用三个内部高频流程，能最快把手工台账和跨部门对账问题变成可上线的流程成果。若管理层更重视前端客户管理，可将客易达作为替代首选；若更重视老板看数和经营复盘，可让飞岚数据先做低成本看板试点。一期边界建议控制在能明确验收、能形成使用习惯、能在预算内闭环的场景内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 w:eastAsia="Microsoft YaHei"/>
        <w:color w:val="595959"/>
        <w:sz w:val="18"/>
      </w:rPr>
      <w:t xml:space="preserve">第 </w:t>
    </w:r>
    <w:r>
      <w:rPr>
        <w:rFonts w:ascii="Calibri" w:hAnsi="Calibri" w:eastAsia="Microsoft YaHei"/>
        <w:color w:val="595959"/>
        <w:sz w:val="18"/>
      </w:rPr>
      <w:fldChar w:fldCharType="begin"/>
      <w:instrText xml:space="preserve">PAGE</w:instrText>
      <w:fldChar w:fldCharType="end"/>
    </w:r>
    <w:r>
      <w:rPr>
        <w:rFonts w:ascii="Calibri" w:hAnsi="Calibri" w:eastAsia="Microsoft YaHei"/>
        <w:color w:val="595959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Calibri" w:hAnsi="Calibri" w:eastAsia="Microsoft YaHei"/>
        <w:color w:val="595959"/>
        <w:sz w:val="18"/>
      </w:rPr>
      <w:t>供应商初筛建议 | 内部汇报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0" w:line="280" w:lineRule="auto"/>
      <w:contextualSpacing/>
    </w:pPr>
    <w:rPr>
      <w:rFonts w:ascii="Calibri" w:hAnsi="Calibri" w:eastAsia="Microsoft YaHei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100" w:line="280" w:lineRule="auto"/>
      <w:contextualSpacing/>
    </w:pPr>
    <w:rPr>
      <w:rFonts w:ascii="Calibri" w:hAnsi="Calibri" w:eastAsia="Microsoft YaHei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